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5A0B">
      <w:pPr>
        <w:jc w:val="both"/>
        <w:rPr>
          <w:sz w:val="28"/>
        </w:rPr>
      </w:pPr>
      <w:r>
        <w:rPr>
          <w:sz w:val="28"/>
        </w:rPr>
        <w:t>Vertragsentwürfe können nie die Besonderheiten des jeweiligen Einzelfalles berücksichtigen. Daher sollten Sie die Entwürfe lediglich als Denkanstöße verstehen. Wir empfehlen, mit einem Anwalt Ihres Vertrauens einen Vertrag ausarbeiten zu lassen.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>Unter der</w:t>
      </w:r>
      <w:r>
        <w:rPr>
          <w:sz w:val="28"/>
        </w:rPr>
        <w:t xml:space="preserve"> Faxnummer 0190-252448-771 können Sie bei der Zeitschrift „Jäger“ eine Version einer Wildfolgevereinbarung abrufen.</w:t>
      </w:r>
      <w:bookmarkStart w:id="0" w:name="_GoBack"/>
      <w:bookmarkEnd w:id="0"/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>Hier unser Vorschlag: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pStyle w:val="berschrift1"/>
      </w:pPr>
      <w:r>
        <w:t>Die Reviernachbarn</w:t>
      </w:r>
    </w:p>
    <w:p w:rsidR="00000000" w:rsidRDefault="00FC5A0B">
      <w:pPr>
        <w:jc w:val="both"/>
        <w:rPr>
          <w:sz w:val="28"/>
        </w:rPr>
      </w:pPr>
      <w:r>
        <w:rPr>
          <w:sz w:val="28"/>
        </w:rPr>
        <w:t>X und y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>treffen hiermit gem. § 22a BJG und  § 29 Abs.1 Landesjagdgesetz Nordrhein-Westfalen (</w:t>
      </w:r>
      <w:r>
        <w:rPr>
          <w:sz w:val="28"/>
        </w:rPr>
        <w:t>LJG-NW) bzw. § 22 Abs.4 Hess.Ausf.G. z. BJG folgende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b/>
          <w:sz w:val="32"/>
        </w:rPr>
        <w:t>Wildfolgevereinbarung: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>I. Schalenwild: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>Bezüglich der Wildfolge bei Schalenwild  zwischen unseren Jagdbezirken finden die Bestimmungen des § 29 Abs. 3 bis 5 und 7 LJG-NW unverändert Anwendung.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 xml:space="preserve">II. </w:t>
      </w:r>
      <w:r>
        <w:rPr>
          <w:sz w:val="28"/>
        </w:rPr>
        <w:t>Niederwild: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>1. Flüchtet krankgeschossenes Niederwild - außer Rehwild - über die Jagdgrenze und verendet in Sichtweite, darf der Jagdausübungsberechtigte oder sein Beauftragter das Wild ggf. auch durch einen Jagdhund aus dem Nachbarrevier holen und an sich</w:t>
      </w:r>
      <w:r>
        <w:rPr>
          <w:sz w:val="28"/>
        </w:rPr>
        <w:t xml:space="preserve"> nehmen. Das Mitführen einer ungeladenen Schußwaffe ist erlaubt.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lastRenderedPageBreak/>
        <w:t>2. Bei der Heranholung sichtbar krankgeschossenen und nicht in Sichtweite verendeten Niederwildes darf sich der Jagdausübungsberechtigte eines Jagdhundes bedienen.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>3. Das Wild geht in das E</w:t>
      </w:r>
      <w:r>
        <w:rPr>
          <w:sz w:val="28"/>
        </w:rPr>
        <w:t>igentum des Jagdausübungsberechtigten über, in dessen Revier es krankgeschossen worden ist.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>4. In jedem Falle ist der Jagdnachbar oder dessen Vertreter über das über die Jagdgrenze geholte Wild unverzüglich, spätestens nach Beendigung der Jagd, zu benachr</w:t>
      </w:r>
      <w:r>
        <w:rPr>
          <w:sz w:val="28"/>
        </w:rPr>
        <w:t>ichtigen.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>III. Wildernde Hunde und Katzen:</w:t>
      </w:r>
    </w:p>
    <w:p w:rsidR="00000000" w:rsidRDefault="00FC5A0B">
      <w:pPr>
        <w:jc w:val="both"/>
        <w:rPr>
          <w:sz w:val="28"/>
        </w:rPr>
      </w:pPr>
      <w:r>
        <w:rPr>
          <w:sz w:val="28"/>
        </w:rPr>
        <w:t>1. Wildernde Hunde und Katzen (§ 25 Abs.4 Ziff. 2 LJG-NW) dürfen die Vertragspartner, Inhaber der von ihnen ausgestellten Erlaubnisscheine, die amtlich bestätigten Jagdaufseher und die Forstbeamten der beteiligt</w:t>
      </w:r>
      <w:r>
        <w:rPr>
          <w:sz w:val="28"/>
        </w:rPr>
        <w:t>en Jagdbezirke, über die Jagdgrenzen bis zu einer Entfernung von 100 m im Nachbarrevier beschießen und sich aneignen. Bei Überschreiten der Reviergrenzen dürfen ungeladene, erforderlichenfalls auch geladene Schußwaffen mitgeführt werden. Für die Beseitigun</w:t>
      </w:r>
      <w:r>
        <w:rPr>
          <w:sz w:val="28"/>
        </w:rPr>
        <w:t>g der Kadaver hat der Erleger zu sorgen.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>2. Der Jagdnachbar oder dessen Vertreter ist nach Beendigung der Jagd zu verständigen, wenn wildernde Hunde oder Katzen über die Jagdgrenze beschossen oder erlegt worden sind.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 xml:space="preserve">............., den </w:t>
      </w: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</w:p>
    <w:p w:rsidR="00000000" w:rsidRDefault="00FC5A0B">
      <w:pPr>
        <w:jc w:val="both"/>
        <w:rPr>
          <w:sz w:val="28"/>
        </w:rPr>
      </w:pPr>
      <w:r>
        <w:rPr>
          <w:sz w:val="28"/>
        </w:rPr>
        <w:t>-------------</w:t>
      </w:r>
      <w:r>
        <w:rPr>
          <w:sz w:val="28"/>
        </w:rPr>
        <w:t>-----------------------------------                -----------------------------------</w:t>
      </w:r>
    </w:p>
    <w:sectPr w:rsidR="00000000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134" w:right="1418" w:bottom="2211" w:left="1418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5A0B">
      <w:r>
        <w:separator/>
      </w:r>
    </w:p>
  </w:endnote>
  <w:endnote w:type="continuationSeparator" w:id="0">
    <w:p w:rsidR="00000000" w:rsidRDefault="00FC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0B" w:rsidRDefault="00FC5A0B" w:rsidP="00FC5A0B">
    <w:pPr>
      <w:rPr>
        <w:rFonts w:ascii="Times New Roman" w:hAnsi="Times New Roman"/>
        <w:sz w:val="18"/>
      </w:rPr>
    </w:pPr>
    <w:r>
      <w:rPr>
        <w:sz w:val="18"/>
      </w:rPr>
      <w:t>Copyright © 2017 Kanzlei Rechtsanwälte Mühlenbein und Kollegen Brilon. Erstellt von RA Josef Mühlenbein.</w:t>
    </w:r>
  </w:p>
  <w:p w:rsidR="00FC5A0B" w:rsidRDefault="00FC5A0B" w:rsidP="00FC5A0B">
    <w:pPr>
      <w:rPr>
        <w:rFonts w:cs="Arial"/>
        <w:sz w:val="20"/>
      </w:rPr>
    </w:pPr>
    <w:r>
      <w:rPr>
        <w:sz w:val="18"/>
      </w:rPr>
      <w:t>Die Texte sind nur für den Eigenbedarf bestimmt und nicht zur Vervielfältigung oder zur Weiterleitung an Dritte.</w:t>
    </w:r>
  </w:p>
  <w:p w:rsidR="00FC5A0B" w:rsidRDefault="00FC5A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5A0B">
      <w:r>
        <w:separator/>
      </w:r>
    </w:p>
  </w:footnote>
  <w:footnote w:type="continuationSeparator" w:id="0">
    <w:p w:rsidR="00000000" w:rsidRDefault="00FC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5A0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FC5A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5A0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00000" w:rsidRDefault="00FC5A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0B" w:rsidRDefault="00FC5A0B" w:rsidP="00FC5A0B">
    <w:pPr>
      <w:pStyle w:val="Kopfzeile"/>
      <w:tabs>
        <w:tab w:val="clear" w:pos="4536"/>
        <w:tab w:val="clear" w:pos="9072"/>
        <w:tab w:val="left" w:pos="7260"/>
      </w:tabs>
      <w:jc w:val="right"/>
    </w:pPr>
    <w:r>
      <w:tab/>
      <w:t>jagd26.docx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A0B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FE74E3-E29A-4681-9D3D-40B60A26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A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WORD\KANZLEI\LFD_AKTE\1995\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KO.DOT</Template>
  <TotalTime>0</TotalTime>
  <Pages>2</Pages>
  <Words>327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> 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Mühlenbein</dc:creator>
  <cp:keywords/>
  <cp:lastModifiedBy>PC-1</cp:lastModifiedBy>
  <cp:revision>2</cp:revision>
  <cp:lastPrinted>2017-04-11T10:40:00Z</cp:lastPrinted>
  <dcterms:created xsi:type="dcterms:W3CDTF">2017-04-11T10:41:00Z</dcterms:created>
  <dcterms:modified xsi:type="dcterms:W3CDTF">2017-04-11T10:41:00Z</dcterms:modified>
</cp:coreProperties>
</file>